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p>
    <w:p>
      <w:pPr>
        <w:rPr>
          <w:rFonts w:hint="eastAsia"/>
          <w:lang w:val="en-US" w:eastAsia="zh-CN"/>
        </w:rPr>
      </w:pPr>
    </w:p>
    <w:p>
      <w:pPr>
        <w:pStyle w:val="2"/>
        <w:bidi w:val="0"/>
        <w:jc w:val="center"/>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spacing w:val="74"/>
          <w:sz w:val="96"/>
          <w:szCs w:val="96"/>
          <w:lang w:val="en-US" w:eastAsia="zh-CN"/>
        </w:rPr>
      </w:pPr>
      <w:r>
        <w:rPr>
          <w:rFonts w:hint="eastAsia"/>
          <w:spacing w:val="74"/>
          <w:sz w:val="96"/>
          <w:szCs w:val="96"/>
          <w:lang w:val="en-US" w:eastAsia="zh-CN"/>
        </w:rPr>
        <w:t>重大事故隐患</w:t>
      </w:r>
    </w:p>
    <w:p>
      <w:pPr>
        <w:pStyle w:val="2"/>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spacing w:val="74"/>
          <w:sz w:val="96"/>
          <w:szCs w:val="96"/>
          <w:lang w:val="en-US" w:eastAsia="zh-CN"/>
        </w:rPr>
      </w:pPr>
      <w:r>
        <w:rPr>
          <w:rFonts w:hint="eastAsia"/>
          <w:spacing w:val="74"/>
          <w:sz w:val="96"/>
          <w:szCs w:val="96"/>
          <w:lang w:val="en-US" w:eastAsia="zh-CN"/>
        </w:rPr>
        <w:t>判定标准汇编</w:t>
      </w: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jc w:val="center"/>
        <w:rPr>
          <w:rFonts w:hint="eastAsia"/>
          <w:lang w:val="en-US" w:eastAsia="zh-CN"/>
        </w:rPr>
      </w:pPr>
    </w:p>
    <w:p>
      <w:pPr>
        <w:jc w:val="center"/>
        <w:rPr>
          <w:rFonts w:hint="eastAsia"/>
          <w:lang w:val="en-US" w:eastAsia="zh-CN"/>
        </w:rPr>
      </w:pPr>
    </w:p>
    <w:p>
      <w:pPr>
        <w:pStyle w:val="2"/>
        <w:bidi w:val="0"/>
        <w:jc w:val="center"/>
        <w:rPr>
          <w:rFonts w:hint="eastAsia"/>
          <w:lang w:val="en-US" w:eastAsia="zh-CN"/>
        </w:rPr>
      </w:pPr>
    </w:p>
    <w:p>
      <w:pPr>
        <w:jc w:val="center"/>
        <w:rPr>
          <w:rFonts w:hint="eastAsia"/>
          <w:lang w:val="en-US" w:eastAsia="zh-CN"/>
        </w:rPr>
      </w:pPr>
    </w:p>
    <w:p>
      <w:pPr>
        <w:pStyle w:val="2"/>
        <w:bidi w:val="0"/>
        <w:jc w:val="center"/>
        <w:rPr>
          <w:rFonts w:hint="eastAsia"/>
          <w:lang w:val="en-US" w:eastAsia="zh-CN"/>
        </w:rPr>
      </w:pPr>
    </w:p>
    <w:p>
      <w:pPr>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三明市人民政府安全生产委员会办公室编印</w:t>
      </w:r>
      <w:r>
        <w:rPr>
          <w:rFonts w:hint="eastAsia" w:ascii="仿宋_GB2312" w:hAnsi="仿宋_GB2312" w:eastAsia="仿宋_GB2312" w:cs="仿宋_GB2312"/>
          <w:sz w:val="36"/>
          <w:szCs w:val="36"/>
          <w:lang w:val="en-US" w:eastAsia="zh-CN"/>
        </w:rPr>
        <w:br w:type="textWrapping"/>
      </w:r>
      <w:r>
        <w:rPr>
          <w:rFonts w:hint="eastAsia" w:ascii="仿宋_GB2312" w:hAnsi="仿宋_GB2312" w:eastAsia="仿宋_GB2312" w:cs="仿宋_GB2312"/>
          <w:sz w:val="36"/>
          <w:szCs w:val="36"/>
          <w:lang w:val="en-US" w:eastAsia="zh-CN"/>
        </w:rPr>
        <w:t>2024年2月</w:t>
      </w: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pStyle w:val="2"/>
        <w:bidi w:val="0"/>
        <w:jc w:val="center"/>
        <w:rPr>
          <w:rFonts w:hint="eastAsia"/>
          <w:lang w:val="en-US" w:eastAsia="zh-CN"/>
        </w:rPr>
      </w:pPr>
      <w:r>
        <w:rPr>
          <w:rFonts w:hint="eastAsia"/>
          <w:lang w:val="en-US" w:eastAsia="zh-CN"/>
        </w:rPr>
        <w:t>目  录</w:t>
      </w:r>
    </w:p>
    <w:p>
      <w:pPr>
        <w:pStyle w:val="5"/>
        <w:keepNext w:val="0"/>
        <w:keepLines w:val="0"/>
        <w:pageBreakBefore w:val="0"/>
        <w:widowControl w:val="0"/>
        <w:tabs>
          <w:tab w:val="right" w:leader="middleDot" w:pos="8299"/>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tabs>
          <w:tab w:val="right" w:leader="middleDot" w:pos="8299"/>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tabs>
          <w:tab w:val="right" w:leader="middleDot" w:pos="8299"/>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_Toc17121 </w:instrText>
      </w:r>
      <w:r>
        <w:rPr>
          <w:rFonts w:hint="eastAsia" w:ascii="仿宋_GB2312" w:hAnsi="仿宋_GB2312" w:eastAsia="仿宋_GB2312" w:cs="仿宋_GB2312"/>
          <w:sz w:val="32"/>
          <w:szCs w:val="32"/>
        </w:rPr>
        <w:fldChar w:fldCharType="separate"/>
      </w:r>
      <w:r>
        <w:rPr>
          <w:rFonts w:hint="eastAsia" w:cs="仿宋_GB2312"/>
          <w:sz w:val="32"/>
          <w:szCs w:val="32"/>
          <w:lang w:val="en-US" w:eastAsia="zh-CN"/>
        </w:rPr>
        <w:t>1</w:t>
      </w:r>
      <w:r>
        <w:rPr>
          <w:rFonts w:hint="eastAsia" w:ascii="仿宋_GB2312" w:hAnsi="仿宋_GB2312" w:eastAsia="仿宋_GB2312" w:cs="仿宋_GB2312"/>
          <w:sz w:val="32"/>
          <w:szCs w:val="32"/>
        </w:rPr>
        <w:t>.体育领域安全生产重大事故隐患清单</w:t>
      </w:r>
      <w:r>
        <w:rPr>
          <w:rFonts w:hint="eastAsia" w:ascii="仿宋_GB2312" w:hAnsi="仿宋_GB2312" w:eastAsia="仿宋_GB2312" w:cs="仿宋_GB2312"/>
          <w:sz w:val="32"/>
          <w:szCs w:val="32"/>
        </w:rPr>
        <w:fldChar w:fldCharType="end"/>
      </w:r>
    </w:p>
    <w:p>
      <w:pPr>
        <w:pStyle w:val="5"/>
        <w:keepNext w:val="0"/>
        <w:keepLines w:val="0"/>
        <w:pageBreakBefore w:val="0"/>
        <w:widowControl w:val="0"/>
        <w:tabs>
          <w:tab w:val="right" w:leader="middleDot" w:pos="8299"/>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_Toc28392 </w:instrText>
      </w:r>
      <w:r>
        <w:rPr>
          <w:rFonts w:hint="eastAsia" w:ascii="仿宋_GB2312" w:hAnsi="仿宋_GB2312" w:eastAsia="仿宋_GB2312" w:cs="仿宋_GB2312"/>
          <w:sz w:val="32"/>
          <w:szCs w:val="32"/>
        </w:rPr>
        <w:fldChar w:fldCharType="separate"/>
      </w: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.体育行业安全生产重大事故隐患判定标准（2023版）</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pPr>
    </w:p>
    <w:p>
      <w:pPr>
        <w:pStyle w:val="2"/>
        <w:bidi w:val="0"/>
        <w:jc w:val="center"/>
      </w:pPr>
      <w:bookmarkStart w:id="0" w:name="_Toc17121"/>
      <w:bookmarkStart w:id="1" w:name="_Toc20865"/>
    </w:p>
    <w:p>
      <w:pPr>
        <w:pStyle w:val="2"/>
        <w:bidi w:val="0"/>
        <w:jc w:val="center"/>
      </w:pPr>
      <w:r>
        <w:t>体育领域安全生产重大事故隐患清单</w:t>
      </w:r>
      <w:bookmarkEnd w:id="0"/>
      <w:bookmarkEnd w:id="1"/>
    </w:p>
    <w:p>
      <w:pPr>
        <w:pStyle w:val="2"/>
        <w:bidi w:val="0"/>
        <w:jc w:val="center"/>
      </w:pPr>
      <w:bookmarkStart w:id="2" w:name="_Toc11430"/>
      <w:bookmarkStart w:id="3" w:name="_Toc1286"/>
      <w:r>
        <w:rPr>
          <w:rFonts w:hint="eastAsia"/>
          <w:lang w:eastAsia="zh-CN"/>
        </w:rPr>
        <w:t>（</w:t>
      </w:r>
      <w:r>
        <w:t>第一版</w:t>
      </w:r>
      <w:r>
        <w:rPr>
          <w:rFonts w:hint="eastAsia"/>
          <w:lang w:eastAsia="zh-CN"/>
        </w:rPr>
        <w:t>）</w:t>
      </w:r>
      <w:bookmarkEnd w:id="2"/>
      <w:bookmarkEnd w:id="3"/>
    </w:p>
    <w:p>
      <w:pPr>
        <w:keepNext w:val="0"/>
        <w:keepLines w:val="0"/>
        <w:pageBreakBefore w:val="0"/>
        <w:widowControl w:val="0"/>
        <w:kinsoku/>
        <w:wordWrap/>
        <w:overflowPunct/>
        <w:topLinePunct w:val="0"/>
        <w:autoSpaceDE/>
        <w:autoSpaceDN/>
        <w:bidi w:val="0"/>
        <w:adjustRightInd/>
        <w:snapToGrid/>
        <w:spacing w:beforeAutospacing="0" w:afterAutospacing="0" w:line="359" w:lineRule="auto"/>
        <w:ind w:left="0" w:leftChars="0" w:right="0" w:rightChars="0"/>
        <w:rPr>
          <w:rFonts w:ascii="Arial"/>
          <w:sz w:val="21"/>
        </w:rPr>
      </w:pPr>
    </w:p>
    <w:p>
      <w:pPr>
        <w:bidi w:val="0"/>
        <w:outlineLvl w:val="1"/>
        <w:rPr>
          <w:rFonts w:hint="eastAsia" w:ascii="黑体" w:hAnsi="黑体" w:eastAsia="黑体" w:cs="黑体"/>
          <w:lang w:val="en-US" w:eastAsia="en-US"/>
        </w:rPr>
      </w:pPr>
      <w:bookmarkStart w:id="4" w:name="_Toc15161"/>
      <w:r>
        <w:rPr>
          <w:rFonts w:hint="eastAsia" w:ascii="黑体" w:hAnsi="黑体" w:eastAsia="黑体" w:cs="黑体"/>
          <w:lang w:val="en-US" w:eastAsia="en-US"/>
        </w:rPr>
        <w:t>一、体育赛事及群众性体育活动有下列情形之一的，应视为重大事故隐患</w:t>
      </w:r>
      <w:bookmarkEnd w:id="4"/>
    </w:p>
    <w:p>
      <w:pPr>
        <w:bidi w:val="0"/>
        <w:rPr>
          <w:lang w:val="en-US" w:eastAsia="en-US"/>
        </w:rPr>
      </w:pPr>
      <w:r>
        <w:rPr>
          <w:lang w:val="en-US" w:eastAsia="en-US"/>
        </w:rPr>
        <w:t>(一)未结合实际制定并严格落实安全办赛方案、安保工作方案、观赛保障方案、“熔断”工作方案和应急预案的；</w:t>
      </w:r>
    </w:p>
    <w:p>
      <w:pPr>
        <w:bidi w:val="0"/>
        <w:rPr>
          <w:lang w:val="en-US" w:eastAsia="en-US"/>
        </w:rPr>
      </w:pPr>
      <w:r>
        <w:rPr>
          <w:lang w:val="en-US" w:eastAsia="en-US"/>
        </w:rPr>
        <w:t>(二)未按要求报批在华举办的国际体育赛事、未经批准违规举办国际体育赛事的；</w:t>
      </w:r>
    </w:p>
    <w:p>
      <w:pPr>
        <w:bidi w:val="0"/>
        <w:rPr>
          <w:lang w:val="en-US" w:eastAsia="en-US"/>
        </w:rPr>
      </w:pPr>
      <w:r>
        <w:rPr>
          <w:lang w:val="en-US" w:eastAsia="en-US"/>
        </w:rPr>
        <w:t>(三)未经批准举办健身气功、航空体育等竞赛活动的；</w:t>
      </w:r>
    </w:p>
    <w:p>
      <w:pPr>
        <w:bidi w:val="0"/>
        <w:rPr>
          <w:lang w:val="en-US" w:eastAsia="en-US"/>
        </w:rPr>
      </w:pPr>
      <w:r>
        <w:rPr>
          <w:lang w:val="en-US" w:eastAsia="en-US"/>
        </w:rPr>
        <w:t>(四)未经许可举办高危险性体育赛事活动的；</w:t>
      </w:r>
    </w:p>
    <w:p>
      <w:pPr>
        <w:bidi w:val="0"/>
        <w:rPr>
          <w:lang w:val="en-US" w:eastAsia="en-US"/>
        </w:rPr>
      </w:pPr>
      <w:r>
        <w:rPr>
          <w:lang w:val="en-US" w:eastAsia="en-US"/>
        </w:rPr>
        <w:t>(五)没有对天气状况、活动场所自然环境等风险因素进行分析，开展跟踪监测和预警的；</w:t>
      </w:r>
    </w:p>
    <w:p>
      <w:pPr>
        <w:bidi w:val="0"/>
        <w:rPr>
          <w:lang w:val="en-US" w:eastAsia="en-US"/>
        </w:rPr>
      </w:pPr>
      <w:r>
        <w:rPr>
          <w:lang w:val="en-US" w:eastAsia="en-US"/>
        </w:rPr>
        <w:t>(六)没有对赛事活动举办过程中可能引发观众冲突、恐慌、踩踏等风险进行分析研判和分类管理的；</w:t>
      </w:r>
    </w:p>
    <w:p>
      <w:pPr>
        <w:bidi w:val="0"/>
        <w:rPr>
          <w:lang w:val="en-US" w:eastAsia="en-US"/>
        </w:rPr>
      </w:pPr>
      <w:r>
        <w:rPr>
          <w:lang w:val="en-US" w:eastAsia="en-US"/>
        </w:rPr>
        <w:t>(七)赛事筹办过程中存在层层转包，大量使用无相关专业 资质或工作经验的人员，办赛程序不规范等导致赛事组织管理风险不可控的；</w:t>
      </w:r>
    </w:p>
    <w:p>
      <w:pPr>
        <w:bidi w:val="0"/>
        <w:rPr>
          <w:lang w:val="en-US" w:eastAsia="en-US"/>
        </w:rPr>
      </w:pPr>
      <w:r>
        <w:rPr>
          <w:lang w:val="en-US" w:eastAsia="en-US"/>
        </w:rPr>
        <w:t>(八)赛事活动场馆场所基础设施验收不合格、检查不到位的；没有针对赛事活动特点查验场所通道容载率、动线合理性的；没有对周边临时搭建物进行安全检查和合理规划的；</w:t>
      </w:r>
    </w:p>
    <w:p>
      <w:pPr>
        <w:bidi w:val="0"/>
        <w:rPr>
          <w:lang w:val="en-US" w:eastAsia="en-US"/>
        </w:rPr>
      </w:pPr>
      <w:r>
        <w:rPr>
          <w:lang w:val="en-US" w:eastAsia="en-US"/>
        </w:rPr>
        <w:t>(九)办赛过程中所必需的危险化学品、易燃易爆品、特种设备等存储使用管理不规范，安保措施和应急预案不充分的；</w:t>
      </w:r>
    </w:p>
    <w:p>
      <w:pPr>
        <w:bidi w:val="0"/>
        <w:rPr>
          <w:lang w:val="en-US" w:eastAsia="en-US"/>
        </w:rPr>
      </w:pPr>
      <w:r>
        <w:rPr>
          <w:lang w:val="en-US" w:eastAsia="en-US"/>
        </w:rPr>
        <w:t>(十)办赛过程中没有履行告知义务，未对参赛年龄、身体条件、技术水平等特殊要求作出真实解释和明确警示的；</w:t>
      </w:r>
    </w:p>
    <w:p>
      <w:pPr>
        <w:bidi w:val="0"/>
        <w:rPr>
          <w:lang w:val="en-US" w:eastAsia="en-US"/>
        </w:rPr>
      </w:pPr>
      <w:r>
        <w:rPr>
          <w:lang w:val="en-US" w:eastAsia="en-US"/>
        </w:rPr>
        <w:t>(十一)未制定紧急救治工作方案，未按要求配备必要数量且符合规定的安全救助人员的；</w:t>
      </w:r>
    </w:p>
    <w:p>
      <w:pPr>
        <w:bidi w:val="0"/>
        <w:rPr>
          <w:lang w:val="en-US" w:eastAsia="en-US"/>
        </w:rPr>
      </w:pPr>
      <w:r>
        <w:rPr>
          <w:lang w:val="en-US" w:eastAsia="en-US"/>
        </w:rPr>
        <w:t>(十二)食宿、交通、景观搭建、医疗救援等赛事活动配套服务管理不规范、资质不全、质量不达标的；</w:t>
      </w:r>
    </w:p>
    <w:p>
      <w:pPr>
        <w:bidi w:val="0"/>
        <w:rPr>
          <w:lang w:val="en-US" w:eastAsia="en-US"/>
        </w:rPr>
      </w:pPr>
      <w:r>
        <w:rPr>
          <w:lang w:val="en-US" w:eastAsia="en-US"/>
        </w:rPr>
        <w:t>(十三)以多种业态综合或模式创新等形式开展相关赛事活动的；</w:t>
      </w:r>
    </w:p>
    <w:p>
      <w:pPr>
        <w:bidi w:val="0"/>
        <w:rPr>
          <w:lang w:val="en-US" w:eastAsia="en-US"/>
        </w:rPr>
      </w:pPr>
      <w:r>
        <w:rPr>
          <w:lang w:val="en-US" w:eastAsia="en-US"/>
        </w:rPr>
        <w:t>(十四)拒不配合体育行政部门监管行为的；</w:t>
      </w:r>
    </w:p>
    <w:p>
      <w:pPr>
        <w:bidi w:val="0"/>
        <w:rPr>
          <w:lang w:val="en-US" w:eastAsia="en-US"/>
        </w:rPr>
      </w:pPr>
      <w:r>
        <w:rPr>
          <w:lang w:val="en-US" w:eastAsia="en-US"/>
        </w:rPr>
        <w:t>(十五)赛事活动开展过程中所必需的运动设施、保护设备、 救援设备及医疗设备等存在配置不足、安全系数不够、管理不规范、超期使用等情况的。</w:t>
      </w:r>
    </w:p>
    <w:p>
      <w:pPr>
        <w:bidi w:val="0"/>
        <w:outlineLvl w:val="1"/>
        <w:rPr>
          <w:rFonts w:hint="eastAsia" w:ascii="黑体" w:hAnsi="黑体" w:eastAsia="黑体" w:cs="黑体"/>
          <w:lang w:val="en-US" w:eastAsia="en-US"/>
        </w:rPr>
      </w:pPr>
      <w:bookmarkStart w:id="5" w:name="_Toc12554"/>
      <w:r>
        <w:rPr>
          <w:rFonts w:hint="eastAsia" w:ascii="黑体" w:hAnsi="黑体" w:eastAsia="黑体" w:cs="黑体"/>
          <w:lang w:val="en-US" w:eastAsia="en-US"/>
        </w:rPr>
        <w:t>二、体育场所设施有下列情形之一的，应视为重大事故隐患</w:t>
      </w:r>
      <w:bookmarkEnd w:id="5"/>
    </w:p>
    <w:p>
      <w:pPr>
        <w:bidi w:val="0"/>
        <w:rPr>
          <w:lang w:val="en-US" w:eastAsia="en-US"/>
        </w:rPr>
      </w:pPr>
      <w:r>
        <w:rPr>
          <w:lang w:val="en-US" w:eastAsia="en-US"/>
        </w:rPr>
        <w:t>(十六)建筑物存在违法违规建设或改造行为，验收不合格 或存在质量问题，超过设计使用年限且安全性鉴定为 C 级或 D级的；</w:t>
      </w:r>
    </w:p>
    <w:p>
      <w:pPr>
        <w:bidi w:val="0"/>
        <w:rPr>
          <w:lang w:val="en-US" w:eastAsia="en-US"/>
        </w:rPr>
      </w:pPr>
      <w:r>
        <w:rPr>
          <w:lang w:val="en-US" w:eastAsia="en-US"/>
        </w:rPr>
        <w:t>(十七)运动设施、看台围网及相关保护设备设置不合理、运维不规范、未按要求定期进行检修或超期使用的；</w:t>
      </w:r>
    </w:p>
    <w:p>
      <w:pPr>
        <w:bidi w:val="0"/>
        <w:rPr>
          <w:lang w:val="en-US" w:eastAsia="en-US"/>
        </w:rPr>
      </w:pPr>
      <w:r>
        <w:rPr>
          <w:lang w:val="en-US" w:eastAsia="en-US"/>
        </w:rPr>
        <w:t>(十八)运动场地、活动室、休息室、更衣室等人员聚集位 置，未落实消防、水电、燃气、防灾减灾等安全保障和应急措施的；</w:t>
      </w:r>
    </w:p>
    <w:p>
      <w:pPr>
        <w:bidi w:val="0"/>
        <w:rPr>
          <w:lang w:val="en-US" w:eastAsia="en-US"/>
        </w:rPr>
      </w:pPr>
      <w:r>
        <w:rPr>
          <w:lang w:val="en-US" w:eastAsia="en-US"/>
        </w:rPr>
        <w:t>(十九)安全警示标识、安全提示公告、消防通道和安全疏散指引等未设立或不明显的；</w:t>
      </w:r>
    </w:p>
    <w:p>
      <w:pPr>
        <w:bidi w:val="0"/>
        <w:rPr>
          <w:lang w:val="en-US" w:eastAsia="en-US"/>
        </w:rPr>
      </w:pPr>
      <w:r>
        <w:rPr>
          <w:lang w:val="en-US" w:eastAsia="en-US"/>
        </w:rPr>
        <w:t>(二十)开展的运动项目所必需的运动设施、保护设备、救 援设备及医疗设备等存在配置不足、安全系数不够、管理不规范、超期使用等情况的；</w:t>
      </w:r>
    </w:p>
    <w:p>
      <w:pPr>
        <w:bidi w:val="0"/>
        <w:rPr>
          <w:lang w:val="en-US" w:eastAsia="en-US"/>
        </w:rPr>
      </w:pPr>
      <w:r>
        <w:rPr>
          <w:lang w:val="en-US" w:eastAsia="en-US"/>
        </w:rPr>
        <w:t>(二十一)危险化学品、易燃易爆品、特种设备的管理制度 不完善、使用不规范的，未定期开展检查的，安保措施和应急预案不充分的。</w:t>
      </w:r>
    </w:p>
    <w:p>
      <w:pPr>
        <w:bidi w:val="0"/>
        <w:outlineLvl w:val="2"/>
        <w:rPr>
          <w:lang w:val="en-US" w:eastAsia="en-US"/>
        </w:rPr>
      </w:pPr>
      <w:bookmarkStart w:id="6" w:name="_Toc9809"/>
      <w:r>
        <w:rPr>
          <w:lang w:val="en-US" w:eastAsia="en-US"/>
        </w:rPr>
        <w:t>(二十二)高危险性体育项目场所未经许可经营的。</w:t>
      </w:r>
      <w:bookmarkEnd w:id="6"/>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left"/>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ind w:left="0" w:leftChars="0" w:right="0" w:rightChars="0"/>
        <w:jc w:val="left"/>
        <w:rPr>
          <w:rFonts w:ascii="宋体" w:hAnsi="宋体" w:eastAsia="宋体" w:cs="宋体"/>
          <w:kern w:val="0"/>
          <w:sz w:val="24"/>
          <w:szCs w:val="24"/>
          <w:lang w:val="en-US" w:eastAsia="zh-CN" w:bidi="ar"/>
        </w:rPr>
      </w:pPr>
    </w:p>
    <w:p>
      <w:pPr>
        <w:pStyle w:val="3"/>
        <w:keepNext w:val="0"/>
        <w:keepLines w:val="0"/>
        <w:pageBreakBefore w:val="0"/>
        <w:widowControl w:val="0"/>
        <w:suppressLineNumbers w:val="0"/>
        <w:kinsoku/>
        <w:wordWrap/>
        <w:overflowPunct/>
        <w:topLinePunct w:val="0"/>
        <w:autoSpaceDE/>
        <w:autoSpaceDN/>
        <w:bidi w:val="0"/>
        <w:adjustRightInd/>
        <w:snapToGrid/>
        <w:spacing w:beforeLines="0" w:beforeAutospacing="0" w:afterLines="0" w:afterAutospacing="0"/>
        <w:ind w:left="0" w:leftChars="0" w:right="0" w:rightChars="0"/>
        <w:jc w:val="center"/>
        <w:outlineLvl w:val="9"/>
        <w:sectPr>
          <w:footerReference r:id="rId5" w:type="default"/>
          <w:pgSz w:w="11905" w:h="16838"/>
          <w:pgMar w:top="1440" w:right="1803" w:bottom="1440" w:left="1803" w:header="851" w:footer="992" w:gutter="0"/>
          <w:pgNumType w:fmt="decimal"/>
          <w:cols w:space="720" w:num="1"/>
          <w:rtlGutter w:val="0"/>
          <w:docGrid w:type="lines" w:linePitch="312" w:charSpace="0"/>
        </w:sectPr>
      </w:pPr>
    </w:p>
    <w:p>
      <w:pPr>
        <w:pStyle w:val="2"/>
        <w:bidi w:val="0"/>
        <w:jc w:val="center"/>
        <w:outlineLvl w:val="1"/>
        <w:rPr>
          <w:rFonts w:hint="eastAsia"/>
          <w:lang w:val="en-US" w:eastAsia="zh-CN"/>
        </w:rPr>
      </w:pPr>
      <w:bookmarkStart w:id="7" w:name="_Toc15020"/>
      <w:bookmarkStart w:id="8" w:name="_Toc29477"/>
      <w:r>
        <w:rPr>
          <w:rFonts w:hint="eastAsia"/>
          <w:lang w:val="en-US" w:eastAsia="zh-CN"/>
        </w:rPr>
        <w:t>体育行业安全生产重大事故隐患判定标准</w:t>
      </w:r>
      <w:bookmarkEnd w:id="7"/>
      <w:bookmarkEnd w:id="8"/>
    </w:p>
    <w:p>
      <w:pPr>
        <w:pStyle w:val="2"/>
        <w:bidi w:val="0"/>
        <w:jc w:val="center"/>
        <w:rPr>
          <w:rFonts w:hint="eastAsia"/>
          <w:lang w:val="en-US" w:eastAsia="zh-CN"/>
        </w:rPr>
      </w:pPr>
      <w:bookmarkStart w:id="9" w:name="_Toc12204"/>
      <w:bookmarkStart w:id="10" w:name="_Toc28392"/>
      <w:r>
        <w:rPr>
          <w:rFonts w:hint="eastAsia"/>
          <w:lang w:val="en-US" w:eastAsia="zh-CN"/>
        </w:rPr>
        <w:t>（2023版）</w:t>
      </w:r>
      <w:bookmarkEnd w:id="9"/>
      <w:bookmarkEnd w:id="10"/>
    </w:p>
    <w:p>
      <w:pPr>
        <w:bidi w:val="0"/>
        <w:ind w:left="0" w:leftChars="0" w:firstLine="0" w:firstLineChars="0"/>
        <w:rPr>
          <w:rFonts w:hint="eastAsia"/>
          <w:lang w:val="en-US" w:eastAsia="zh-CN"/>
        </w:rPr>
      </w:pPr>
    </w:p>
    <w:p>
      <w:pPr>
        <w:bidi w:val="0"/>
        <w:rPr>
          <w:rFonts w:hint="eastAsia"/>
        </w:rPr>
      </w:pPr>
      <w:r>
        <w:rPr>
          <w:rFonts w:hint="eastAsia"/>
          <w:b/>
          <w:bCs/>
        </w:rPr>
        <w:t>第一条</w:t>
      </w:r>
      <w:r>
        <w:rPr>
          <w:rFonts w:hint="eastAsia"/>
          <w:b/>
          <w:bCs/>
          <w:lang w:val="en-US" w:eastAsia="zh-CN"/>
        </w:rPr>
        <w:t xml:space="preserve">  </w:t>
      </w:r>
      <w:r>
        <w:rPr>
          <w:rFonts w:hint="eastAsia"/>
        </w:rPr>
        <w:t xml:space="preserve">为指导科学排查、及时消除体育行业重大事故隐患，防范遏制重特大事故发生，根据《中华人民共和国安全生产法》《中华人民共和国体育法》等法律法规，结合体育工作实际，制定本标准。 </w:t>
      </w:r>
    </w:p>
    <w:p>
      <w:pPr>
        <w:bidi w:val="0"/>
        <w:rPr>
          <w:rFonts w:hint="eastAsia"/>
        </w:rPr>
      </w:pPr>
      <w:r>
        <w:rPr>
          <w:rFonts w:hint="eastAsia"/>
          <w:b/>
          <w:bCs/>
        </w:rPr>
        <w:t>第二条</w:t>
      </w:r>
      <w:r>
        <w:rPr>
          <w:rFonts w:hint="eastAsia"/>
          <w:b/>
          <w:bCs/>
          <w:lang w:val="en-US" w:eastAsia="zh-CN"/>
        </w:rPr>
        <w:t xml:space="preserve">  </w:t>
      </w:r>
      <w:r>
        <w:rPr>
          <w:rFonts w:hint="eastAsia"/>
        </w:rPr>
        <w:t xml:space="preserve">本标准适用于判定体育行业可能导致群死群伤或造成重大经济损失、造成严重社会影响的安全管理缺失、违法违规行为、设备设施故障等重大事故隐患，重点围绕体育赛事活动筹办举办、体育场所及设备设施运营管理等重要领域和关键环节。 </w:t>
      </w:r>
    </w:p>
    <w:p>
      <w:pPr>
        <w:bidi w:val="0"/>
        <w:rPr>
          <w:rFonts w:hint="eastAsia"/>
        </w:rPr>
      </w:pPr>
      <w:r>
        <w:rPr>
          <w:rFonts w:hint="eastAsia"/>
          <w:b/>
          <w:bCs/>
        </w:rPr>
        <w:t>第三条</w:t>
      </w:r>
      <w:r>
        <w:rPr>
          <w:rFonts w:hint="eastAsia"/>
          <w:b/>
          <w:bCs/>
          <w:lang w:val="en-US" w:eastAsia="zh-CN"/>
        </w:rPr>
        <w:t xml:space="preserve">  </w:t>
      </w:r>
      <w:r>
        <w:rPr>
          <w:rFonts w:hint="eastAsia"/>
        </w:rPr>
        <w:t xml:space="preserve">体育赛事活动筹办举办中有下列行为之一的，应判定为重大事故隐患： </w:t>
      </w:r>
    </w:p>
    <w:p>
      <w:pPr>
        <w:bidi w:val="0"/>
        <w:rPr>
          <w:rFonts w:hint="eastAsia"/>
        </w:rPr>
      </w:pPr>
      <w:r>
        <w:rPr>
          <w:rFonts w:hint="eastAsia"/>
        </w:rPr>
        <w:t xml:space="preserve">（一）应经批准（许可）的体育赛事活动未按要求履行相应审批（许可）程序的，高危险性体育赛事活动未进行安全风险评估的； </w:t>
      </w:r>
    </w:p>
    <w:p>
      <w:pPr>
        <w:bidi w:val="0"/>
        <w:rPr>
          <w:rFonts w:hint="eastAsia"/>
        </w:rPr>
      </w:pPr>
      <w:r>
        <w:rPr>
          <w:rFonts w:hint="eastAsia"/>
        </w:rPr>
        <w:t xml:space="preserve">（二）将工作内容转包给不具备安全保障条件及能力的第三方，或未与第三方签订安全协议、明确安全管理责任，可能导致体育赛事活动组织管理风险不可控的； </w:t>
      </w:r>
    </w:p>
    <w:p>
      <w:pPr>
        <w:bidi w:val="0"/>
        <w:rPr>
          <w:rFonts w:hint="eastAsia"/>
        </w:rPr>
      </w:pPr>
      <w:r>
        <w:rPr>
          <w:rFonts w:hint="eastAsia"/>
        </w:rPr>
        <w:t xml:space="preserve">（三）未结合实际制定实施安全工作方案，未明确并落实安保、观赛、“熔断”机制和应急预案等相关要求的； </w:t>
      </w:r>
    </w:p>
    <w:p>
      <w:pPr>
        <w:bidi w:val="0"/>
        <w:rPr>
          <w:rFonts w:hint="eastAsia"/>
        </w:rPr>
      </w:pPr>
      <w:r>
        <w:rPr>
          <w:rFonts w:hint="eastAsia"/>
        </w:rPr>
        <w:t xml:space="preserve">（四）未对可能引发观众冲突、恐慌、踩踏等公共安全风险进行分析研判、制定实施应对措施的； </w:t>
      </w:r>
    </w:p>
    <w:p>
      <w:pPr>
        <w:bidi w:val="0"/>
        <w:rPr>
          <w:rFonts w:hint="eastAsia"/>
        </w:rPr>
      </w:pPr>
      <w:r>
        <w:rPr>
          <w:rFonts w:hint="eastAsia"/>
        </w:rPr>
        <w:t xml:space="preserve">（五）未对天气状况、活动场所自然环境等风险因素进行分析，开展跟踪监测和预警的； </w:t>
      </w:r>
    </w:p>
    <w:p>
      <w:pPr>
        <w:bidi w:val="0"/>
        <w:rPr>
          <w:rFonts w:hint="eastAsia"/>
        </w:rPr>
      </w:pPr>
      <w:r>
        <w:rPr>
          <w:rFonts w:hint="eastAsia"/>
        </w:rPr>
        <w:t xml:space="preserve">（六）未履行风险告知义务，未对参赛年龄、身体条件、技术水平等特殊要求作出真实解释和明确警示、并按要求进行验证的； </w:t>
      </w:r>
    </w:p>
    <w:p>
      <w:pPr>
        <w:bidi w:val="0"/>
        <w:rPr>
          <w:rFonts w:hint="eastAsia"/>
        </w:rPr>
      </w:pPr>
      <w:r>
        <w:rPr>
          <w:rFonts w:hint="eastAsia"/>
        </w:rPr>
        <w:t xml:space="preserve">（七）未对举办体育赛事活动的体育场所、设施设备及临时设施进行安全检查，未查验体育场所人员容载量是否符合相关安全要求的； </w:t>
      </w:r>
    </w:p>
    <w:p>
      <w:pPr>
        <w:bidi w:val="0"/>
        <w:rPr>
          <w:rFonts w:hint="eastAsia"/>
        </w:rPr>
      </w:pPr>
      <w:r>
        <w:rPr>
          <w:rFonts w:hint="eastAsia"/>
        </w:rPr>
        <w:t xml:space="preserve">（八）未对举办体育赛事活动所必需的危险化学品、易燃易爆品、特种设备，以及食宿、交通、设施搭建、医疗救援等配套服务等明确管理要求的； </w:t>
      </w:r>
    </w:p>
    <w:p>
      <w:pPr>
        <w:bidi w:val="0"/>
        <w:rPr>
          <w:rFonts w:hint="eastAsia"/>
        </w:rPr>
      </w:pPr>
      <w:r>
        <w:rPr>
          <w:rFonts w:hint="eastAsia"/>
        </w:rPr>
        <w:t xml:space="preserve">（九）举办体育赛事活动所必需的保护设备装备、消防设施及器材、救援设备及医疗设备配备不足，或未保持完好有效的； </w:t>
      </w:r>
    </w:p>
    <w:p>
      <w:pPr>
        <w:bidi w:val="0"/>
        <w:rPr>
          <w:rFonts w:hint="eastAsia"/>
        </w:rPr>
      </w:pPr>
      <w:r>
        <w:rPr>
          <w:rFonts w:hint="eastAsia"/>
        </w:rPr>
        <w:t xml:space="preserve">（十）未落实安全责任人，使用无相关专业资质或未经培训工作人员，未配备必要的、符合相关规定安全救助人员的。 </w:t>
      </w:r>
    </w:p>
    <w:p>
      <w:pPr>
        <w:bidi w:val="0"/>
        <w:rPr>
          <w:rFonts w:hint="eastAsia"/>
        </w:rPr>
      </w:pPr>
      <w:r>
        <w:rPr>
          <w:rFonts w:hint="eastAsia"/>
          <w:b/>
          <w:bCs/>
        </w:rPr>
        <w:t>第四条</w:t>
      </w:r>
      <w:r>
        <w:rPr>
          <w:rFonts w:hint="eastAsia"/>
          <w:b/>
          <w:bCs/>
          <w:lang w:val="en-US" w:eastAsia="zh-CN"/>
        </w:rPr>
        <w:t xml:space="preserve">  </w:t>
      </w:r>
      <w:r>
        <w:rPr>
          <w:rFonts w:hint="eastAsia"/>
        </w:rPr>
        <w:t xml:space="preserve">体育场所及设备设施运营管理存在下列情形的，应判定为重大事故隐患： </w:t>
      </w:r>
    </w:p>
    <w:p>
      <w:pPr>
        <w:bidi w:val="0"/>
        <w:outlineLvl w:val="1"/>
        <w:rPr>
          <w:rFonts w:hint="eastAsia"/>
        </w:rPr>
      </w:pPr>
      <w:bookmarkStart w:id="11" w:name="_Toc30471"/>
      <w:r>
        <w:rPr>
          <w:rFonts w:hint="eastAsia"/>
        </w:rPr>
        <w:t>（十一）未经许可经营高危险性体育项目的；</w:t>
      </w:r>
      <w:bookmarkEnd w:id="11"/>
      <w:r>
        <w:rPr>
          <w:rFonts w:hint="eastAsia"/>
        </w:rPr>
        <w:t xml:space="preserve"> </w:t>
      </w:r>
    </w:p>
    <w:p>
      <w:pPr>
        <w:bidi w:val="0"/>
        <w:rPr>
          <w:rFonts w:hint="eastAsia"/>
        </w:rPr>
      </w:pPr>
      <w:r>
        <w:rPr>
          <w:rFonts w:hint="eastAsia"/>
        </w:rPr>
        <w:t xml:space="preserve">（十二）未建立安全生产岗位责任制，未明确安全管理机构或人员，未定期开展安全教育培训，未按规定进行应急演练的； </w:t>
      </w:r>
    </w:p>
    <w:p>
      <w:pPr>
        <w:bidi w:val="0"/>
        <w:rPr>
          <w:rFonts w:hint="eastAsia"/>
        </w:rPr>
      </w:pPr>
      <w:r>
        <w:rPr>
          <w:rFonts w:hint="eastAsia"/>
        </w:rPr>
        <w:t xml:space="preserve">（十三）体育场所存在违法违规建设或改造行为，或未按建筑设计功能开展体育项目的； </w:t>
      </w:r>
    </w:p>
    <w:p>
      <w:pPr>
        <w:bidi w:val="0"/>
        <w:rPr>
          <w:rFonts w:hint="eastAsia"/>
        </w:rPr>
      </w:pPr>
      <w:r>
        <w:rPr>
          <w:rFonts w:hint="eastAsia"/>
        </w:rPr>
        <w:t xml:space="preserve">（十四）体育场所及设备设施未通过验收，未按相关要求进行定期检验和维护，或超过使用年限未经专业机构鉴定仍在使用的； </w:t>
      </w:r>
    </w:p>
    <w:p>
      <w:pPr>
        <w:bidi w:val="0"/>
        <w:rPr>
          <w:rFonts w:hint="eastAsia"/>
        </w:rPr>
      </w:pPr>
      <w:r>
        <w:rPr>
          <w:rFonts w:hint="eastAsia"/>
        </w:rPr>
        <w:t xml:space="preserve">（十五）运动场地、活动室、休息室、更衣室等人员聚集场所，未针对消防、水电、燃气、防灾减灾等方面制定实施相关安全保障和应急措施的； </w:t>
      </w:r>
    </w:p>
    <w:p>
      <w:pPr>
        <w:bidi w:val="0"/>
        <w:rPr>
          <w:rFonts w:hint="eastAsia"/>
        </w:rPr>
      </w:pPr>
      <w:r>
        <w:rPr>
          <w:rFonts w:hint="eastAsia"/>
        </w:rPr>
        <w:t xml:space="preserve">（十六）未设立安全警示标识、安全提示公告、疏散指示标志等或设置不明显，堵塞、占用、封闭疏散通道、安全出口的； </w:t>
      </w:r>
    </w:p>
    <w:p>
      <w:pPr>
        <w:bidi w:val="0"/>
        <w:rPr>
          <w:rFonts w:hint="eastAsia"/>
        </w:rPr>
      </w:pPr>
      <w:r>
        <w:rPr>
          <w:rFonts w:hint="eastAsia"/>
        </w:rPr>
        <w:t xml:space="preserve">（十七）未按相关管理规定配备必需的保护设施、消防设施及器材、救援设备及医疗设备，或未保持完好有效的； </w:t>
      </w:r>
    </w:p>
    <w:p>
      <w:pPr>
        <w:bidi w:val="0"/>
        <w:rPr>
          <w:rFonts w:hint="eastAsia"/>
        </w:rPr>
      </w:pPr>
      <w:r>
        <w:rPr>
          <w:rFonts w:hint="eastAsia"/>
        </w:rPr>
        <w:t xml:space="preserve">（十八）危险化学品、易燃易爆品、特种设备未按相关规定管理的； </w:t>
      </w:r>
    </w:p>
    <w:p>
      <w:pPr>
        <w:bidi w:val="0"/>
        <w:rPr>
          <w:rFonts w:hint="eastAsia"/>
        </w:rPr>
      </w:pPr>
      <w:r>
        <w:rPr>
          <w:rFonts w:hint="eastAsia"/>
        </w:rPr>
        <w:t xml:space="preserve">（十九）应持证上岗的关键岗位人员无证上岗，未按要求配备安全管理、救助人员的。 </w:t>
      </w:r>
    </w:p>
    <w:p>
      <w:pPr>
        <w:bidi w:val="0"/>
        <w:rPr>
          <w:rFonts w:hint="eastAsia"/>
        </w:rPr>
      </w:pPr>
      <w:r>
        <w:rPr>
          <w:rFonts w:hint="eastAsia"/>
          <w:b/>
          <w:bCs/>
        </w:rPr>
        <w:t>第五条</w:t>
      </w:r>
      <w:r>
        <w:rPr>
          <w:rFonts w:hint="eastAsia"/>
          <w:b/>
          <w:bCs/>
          <w:lang w:val="en-US" w:eastAsia="zh-CN"/>
        </w:rPr>
        <w:t xml:space="preserve">  </w:t>
      </w:r>
      <w:r>
        <w:rPr>
          <w:rFonts w:hint="eastAsia"/>
        </w:rPr>
        <w:t xml:space="preserve">违反强制性国家标准和其他严重违反涉及体育领域的安全生产规章政策，且可能导致群死群伤或造成重大经济损失、造成严重社会影响的现实危险，应判定为重大事故隐患。 </w:t>
      </w:r>
    </w:p>
    <w:p>
      <w:pPr>
        <w:bidi w:val="0"/>
        <w:rPr>
          <w:rFonts w:hint="eastAsia"/>
        </w:rPr>
      </w:pPr>
      <w:r>
        <w:rPr>
          <w:rFonts w:hint="eastAsia"/>
          <w:b/>
          <w:bCs/>
        </w:rPr>
        <w:t>第六条</w:t>
      </w:r>
      <w:r>
        <w:rPr>
          <w:rFonts w:hint="eastAsia"/>
          <w:b/>
          <w:bCs/>
          <w:lang w:val="en-US" w:eastAsia="zh-CN"/>
        </w:rPr>
        <w:t xml:space="preserve">  </w:t>
      </w:r>
      <w:r>
        <w:rPr>
          <w:rFonts w:hint="eastAsia"/>
        </w:rPr>
        <w:t xml:space="preserve">国家对危险化学品、消防（火灾）、燃气、特种设备、有限空间、建筑结构、特种作业人员等方面的重大事故隐患判定另有规定的，从其规定。 </w:t>
      </w:r>
    </w:p>
    <w:p>
      <w:pPr>
        <w:bidi w:val="0"/>
        <w:outlineLvl w:val="0"/>
        <w:rPr>
          <w:rFonts w:hint="eastAsia"/>
        </w:rPr>
      </w:pPr>
      <w:bookmarkStart w:id="12" w:name="_Toc16337"/>
      <w:r>
        <w:rPr>
          <w:rFonts w:hint="eastAsia"/>
          <w:b/>
          <w:bCs/>
        </w:rPr>
        <w:t>第七条</w:t>
      </w:r>
      <w:r>
        <w:rPr>
          <w:rFonts w:hint="eastAsia"/>
          <w:b/>
          <w:bCs/>
          <w:lang w:val="en-US" w:eastAsia="zh-CN"/>
        </w:rPr>
        <w:t xml:space="preserve">  </w:t>
      </w:r>
      <w:r>
        <w:rPr>
          <w:rFonts w:hint="eastAsia"/>
        </w:rPr>
        <w:t>本标准自发布之日起实施，有效期5年。</w:t>
      </w:r>
      <w:bookmarkEnd w:id="12"/>
      <w:bookmarkStart w:id="13" w:name="_GoBack"/>
      <w:bookmarkEnd w:id="13"/>
    </w:p>
    <w:sectPr>
      <w:pgSz w:w="11905" w:h="16838"/>
      <w:pgMar w:top="1440" w:right="1803" w:bottom="1440" w:left="1803"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376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MTYxYzkyYTJkNDQ0MGNkZTFmMjdhYjQ5NWMyNDIifQ=="/>
  </w:docVars>
  <w:rsids>
    <w:rsidRoot w:val="00000000"/>
    <w:rsid w:val="4551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jc w:val="center"/>
      <w:outlineLvl w:val="0"/>
    </w:pPr>
    <w:rPr>
      <w:rFonts w:ascii="方正小标宋_GBK" w:hAnsi="方正小标宋_GBK" w:eastAsia="方正小标宋_GBK" w:cs="方正小标宋_GBK"/>
      <w:kern w:val="44"/>
      <w:sz w:val="44"/>
    </w:rPr>
  </w:style>
  <w:style w:type="paragraph" w:styleId="3">
    <w:name w:val="heading 2"/>
    <w:basedOn w:val="1"/>
    <w:next w:val="1"/>
    <w:unhideWhenUsed/>
    <w:qFormat/>
    <w:uiPriority w:val="0"/>
    <w:pPr>
      <w:keepNext w:val="0"/>
      <w:keepLines w:val="0"/>
      <w:spacing w:beforeLines="0" w:beforeAutospacing="0" w:afterLines="0" w:afterAutospacing="0" w:line="560" w:lineRule="exact"/>
      <w:outlineLvl w:val="1"/>
    </w:pPr>
    <w:rPr>
      <w:rFonts w:ascii="楷体_GB2312" w:hAnsi="楷体_GB2312" w:eastAsia="楷体_GB2312" w:cs="楷体_GB231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2024-03-11T02:23:27Z</dcterms:created>
  <dc:creator>Administrator</dc:creator>
  <cp:lastModifiedBy>倚楼听风雨</cp:lastModifiedBy>
  <dcterms:modified xsi:type="dcterms:W3CDTF">2024-03-11T02:29:46Z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2D8AE42F2768444F974FB26B43F3BE02_12</vt:lpwstr>
  </property>
</Properties>
</file>